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FBA" w:rsidRDefault="00232FBA" w:rsidP="00232FBA">
      <w:pPr>
        <w:rPr>
          <w:b/>
        </w:rPr>
      </w:pPr>
      <w:r>
        <w:rPr>
          <w:b/>
        </w:rPr>
        <w:t>Grandeurs et Mesures</w:t>
      </w:r>
    </w:p>
    <w:p w:rsidR="00232FBA" w:rsidRPr="00E64AF6" w:rsidRDefault="00232FBA" w:rsidP="00232FBA">
      <w:pPr>
        <w:rPr>
          <w:b/>
        </w:rPr>
      </w:pPr>
      <w:r>
        <w:rPr>
          <w:b/>
        </w:rPr>
        <w:t>Nombres entiers et Calcul</w:t>
      </w:r>
    </w:p>
    <w:p w:rsidR="00232FBA" w:rsidRDefault="00232FBA" w:rsidP="00232FBA">
      <w:r>
        <w:t>Hypertexte</w:t>
      </w:r>
    </w:p>
    <w:p w:rsidR="00886B27" w:rsidRDefault="00886B27" w:rsidP="00945D92">
      <w:pPr>
        <w:jc w:val="both"/>
        <w:rPr>
          <w:color w:val="3366FF"/>
        </w:rPr>
      </w:pPr>
      <w:r w:rsidRPr="00232FBA">
        <w:rPr>
          <w:color w:val="3366FF"/>
        </w:rPr>
        <w:t>Unités de numération</w:t>
      </w:r>
    </w:p>
    <w:p w:rsidR="00232FBA" w:rsidRPr="00232FBA" w:rsidRDefault="00232FBA" w:rsidP="00945D92">
      <w:pPr>
        <w:jc w:val="both"/>
        <w:rPr>
          <w:color w:val="3366FF"/>
        </w:rPr>
      </w:pPr>
      <w:bookmarkStart w:id="0" w:name="_GoBack"/>
      <w:bookmarkEnd w:id="0"/>
    </w:p>
    <w:p w:rsidR="00886B27" w:rsidRPr="000D24B2" w:rsidRDefault="00886B27" w:rsidP="00945D92">
      <w:pPr>
        <w:jc w:val="both"/>
      </w:pPr>
      <w:r w:rsidRPr="000D24B2">
        <w:t>Les unités de numération sont les mots et expressions unités, dizaines, centaines, milliers, dizaines de milliers… Ce sont des unités de nombre.</w:t>
      </w:r>
    </w:p>
    <w:p w:rsidR="00886B27" w:rsidRPr="000D24B2" w:rsidRDefault="00886B27" w:rsidP="00945D92">
      <w:pPr>
        <w:jc w:val="both"/>
      </w:pPr>
      <w:r w:rsidRPr="000D24B2">
        <w:t>Souvent les élèves considèrent ces mots uniquement comme des positions dans l</w:t>
      </w:r>
      <w:r w:rsidR="00261145" w:rsidRPr="000D24B2">
        <w:t>’</w:t>
      </w:r>
      <w:r w:rsidRPr="000D24B2">
        <w:t>écriture chiffrée d</w:t>
      </w:r>
      <w:r w:rsidR="00261145" w:rsidRPr="000D24B2">
        <w:t>’</w:t>
      </w:r>
      <w:r w:rsidRPr="000D24B2">
        <w:t>un nombre. Ils ne leur attribuent alors qu</w:t>
      </w:r>
      <w:r w:rsidR="00261145" w:rsidRPr="000D24B2">
        <w:t>’</w:t>
      </w:r>
      <w:r w:rsidRPr="000D24B2">
        <w:t>une signification restrictive, essentiellement dans l</w:t>
      </w:r>
      <w:r w:rsidR="00261145" w:rsidRPr="000D24B2">
        <w:t>’</w:t>
      </w:r>
      <w:r w:rsidRPr="000D24B2">
        <w:t>expression</w:t>
      </w:r>
      <w:r w:rsidR="003D56A1" w:rsidRPr="000D24B2">
        <w:t xml:space="preserve"> « </w:t>
      </w:r>
      <w:r w:rsidRPr="000D24B2">
        <w:t>3 est le chiffre des dizaines de 1234</w:t>
      </w:r>
      <w:r w:rsidR="003D56A1" w:rsidRPr="000D24B2">
        <w:t> »</w:t>
      </w:r>
      <w:r w:rsidRPr="000D24B2">
        <w:t>. Cette signification trop limitée s</w:t>
      </w:r>
      <w:r w:rsidR="00261145" w:rsidRPr="000D24B2">
        <w:t>’</w:t>
      </w:r>
      <w:r w:rsidRPr="000D24B2">
        <w:t>oppose à une compréhension réelle de la numération.</w:t>
      </w:r>
    </w:p>
    <w:p w:rsidR="00886B27" w:rsidRPr="000D24B2" w:rsidRDefault="00886B27" w:rsidP="00945D92">
      <w:pPr>
        <w:jc w:val="both"/>
      </w:pPr>
      <w:r w:rsidRPr="000D24B2">
        <w:t>Une façon de saisir la signification de ces mots est la suivante.</w:t>
      </w:r>
    </w:p>
    <w:p w:rsidR="00886B27" w:rsidRPr="000D24B2" w:rsidRDefault="00886B27" w:rsidP="00945D92">
      <w:pPr>
        <w:jc w:val="both"/>
      </w:pPr>
      <w:r w:rsidRPr="000D24B2">
        <w:t xml:space="preserve">Il existe une catégorie grammaticale : les </w:t>
      </w:r>
      <w:r w:rsidRPr="000D24B2">
        <w:rPr>
          <w:i/>
        </w:rPr>
        <w:t>noms numéraux</w:t>
      </w:r>
      <w:r w:rsidRPr="000D24B2">
        <w:t>. La plupart des noms numéraux sont tombés en désuétude</w:t>
      </w:r>
      <w:r w:rsidR="003D56A1" w:rsidRPr="000D24B2">
        <w:t xml:space="preserve"> (il en va ainsi, par exemple, de </w:t>
      </w:r>
      <w:r w:rsidR="003D56A1" w:rsidRPr="000D24B2">
        <w:rPr>
          <w:i/>
        </w:rPr>
        <w:t>sixaine</w:t>
      </w:r>
      <w:r w:rsidR="003D56A1" w:rsidRPr="000D24B2">
        <w:t xml:space="preserve">, que Littré définissait comme </w:t>
      </w:r>
      <w:r w:rsidR="00E66561" w:rsidRPr="000D24B2">
        <w:t xml:space="preserve">désignant </w:t>
      </w:r>
      <w:r w:rsidR="003D56A1" w:rsidRPr="000D24B2">
        <w:t>une « collection de six choses »)</w:t>
      </w:r>
      <w:r w:rsidRPr="000D24B2">
        <w:t xml:space="preserve">. Toutefois, les mots dizaine, douzaine, quinzaine, vingtaine, cinquantaine, centaine et quelques autres sont encore utilisés dans la vie courante. Ces mots ont deux sens : la signification exacte du nombre, « une douzaine de pommes » pour indiquer douze pommes, et un sens approximatif, </w:t>
      </w:r>
      <w:r w:rsidR="003D56A1" w:rsidRPr="000D24B2">
        <w:t>« </w:t>
      </w:r>
      <w:r w:rsidRPr="000D24B2">
        <w:t>environ douze pommes</w:t>
      </w:r>
      <w:r w:rsidR="003D56A1" w:rsidRPr="000D24B2">
        <w:t> »</w:t>
      </w:r>
      <w:r w:rsidRPr="000D24B2">
        <w:t>.</w:t>
      </w:r>
    </w:p>
    <w:p w:rsidR="00886B27" w:rsidRPr="000D24B2" w:rsidRDefault="00886B27" w:rsidP="00945D92">
      <w:pPr>
        <w:jc w:val="both"/>
      </w:pPr>
      <w:r w:rsidRPr="000D24B2">
        <w:t>Il semble qu</w:t>
      </w:r>
      <w:r w:rsidR="00261145" w:rsidRPr="000D24B2">
        <w:t>’</w:t>
      </w:r>
      <w:r w:rsidRPr="000D24B2">
        <w:t>une façon simple d</w:t>
      </w:r>
      <w:r w:rsidR="00261145" w:rsidRPr="000D24B2">
        <w:t>’</w:t>
      </w:r>
      <w:r w:rsidRPr="000D24B2">
        <w:t>enseigner ces mots est d</w:t>
      </w:r>
      <w:r w:rsidR="00261145" w:rsidRPr="000D24B2">
        <w:t>’</w:t>
      </w:r>
      <w:r w:rsidRPr="000D24B2">
        <w:t>abord de les utiliser avec les élèves. Ainsi, on peut dire à un élève qu</w:t>
      </w:r>
      <w:r w:rsidR="00261145" w:rsidRPr="000D24B2">
        <w:t>’</w:t>
      </w:r>
      <w:r w:rsidRPr="000D24B2">
        <w:t>il a une dizaine de stylos, c</w:t>
      </w:r>
      <w:r w:rsidR="00261145" w:rsidRPr="000D24B2">
        <w:t>’</w:t>
      </w:r>
      <w:r w:rsidRPr="000D24B2">
        <w:t>est-à-dire dix stylos. Dès qu</w:t>
      </w:r>
      <w:r w:rsidR="00261145" w:rsidRPr="000D24B2">
        <w:t>’</w:t>
      </w:r>
      <w:r w:rsidRPr="000D24B2">
        <w:t>il sait dénombrer, on peut lui demander de « préparer une dizaine de feutres, c</w:t>
      </w:r>
      <w:r w:rsidR="00261145" w:rsidRPr="000D24B2">
        <w:t>’</w:t>
      </w:r>
      <w:r w:rsidRPr="000D24B2">
        <w:t>est-à-dire dix feutres », « une douzaine de feuilles, c</w:t>
      </w:r>
      <w:r w:rsidR="00261145" w:rsidRPr="000D24B2">
        <w:t>’</w:t>
      </w:r>
      <w:r w:rsidRPr="000D24B2">
        <w:t>est-à-dire douze feuilles », puis rapidement « une quinzaine de craies », etc. Les élèves doivent associer les adjectifs cardinaux et les noms numéraux courants correspondants.</w:t>
      </w:r>
    </w:p>
    <w:p w:rsidR="00886B27" w:rsidRPr="000D24B2" w:rsidRDefault="00886B27" w:rsidP="00945D92">
      <w:pPr>
        <w:jc w:val="both"/>
      </w:pPr>
      <w:r w:rsidRPr="000D24B2">
        <w:t xml:space="preserve">Pour comprendre la numération décimale, il est ensuite nécessaire de constituer ces noms numéraux en </w:t>
      </w:r>
      <w:r w:rsidRPr="000D24B2">
        <w:rPr>
          <w:i/>
        </w:rPr>
        <w:t>unités de compte</w:t>
      </w:r>
      <w:r w:rsidR="003D56A1" w:rsidRPr="000D24B2">
        <w:t xml:space="preserve"> (c</w:t>
      </w:r>
      <w:r w:rsidR="00261145" w:rsidRPr="000D24B2">
        <w:t>’</w:t>
      </w:r>
      <w:r w:rsidR="003D56A1" w:rsidRPr="000D24B2">
        <w:t>est-à-dire en unités de nombre)</w:t>
      </w:r>
      <w:r w:rsidRPr="000D24B2">
        <w:t>. En effet, ce n</w:t>
      </w:r>
      <w:r w:rsidR="00261145" w:rsidRPr="000D24B2">
        <w:t>’</w:t>
      </w:r>
      <w:r w:rsidRPr="000D24B2">
        <w:t>est pas parce qu</w:t>
      </w:r>
      <w:r w:rsidR="00261145" w:rsidRPr="000D24B2">
        <w:t>’</w:t>
      </w:r>
      <w:r w:rsidRPr="000D24B2">
        <w:t>on sait « préparer une dizaine de feutres » qu</w:t>
      </w:r>
      <w:r w:rsidR="00261145" w:rsidRPr="000D24B2">
        <w:t>’</w:t>
      </w:r>
      <w:r w:rsidRPr="000D24B2">
        <w:t xml:space="preserve">on comprend « deux dizaines de feutres ». Pour ce faire, la dizaine doit devenir une unité de compte : une dizaine de feutres et une dizaine de feutres sont deux dizaines de feutres. Deux dizaines de feutres et une dizaine de feutres sont </w:t>
      </w:r>
      <w:r w:rsidR="003D56A1" w:rsidRPr="000D24B2">
        <w:t>trois dizaines de feutres, etc. O</w:t>
      </w:r>
      <w:r w:rsidRPr="000D24B2">
        <w:t>n compte les dizaines comme on a compté les unités simples. Tous les noms numéraux n</w:t>
      </w:r>
      <w:r w:rsidR="00261145" w:rsidRPr="000D24B2">
        <w:t>’</w:t>
      </w:r>
      <w:r w:rsidRPr="000D24B2">
        <w:t>ont pas vocation à devenir des unités de compte : la vingtaine n</w:t>
      </w:r>
      <w:r w:rsidR="00261145" w:rsidRPr="000D24B2">
        <w:t>’</w:t>
      </w:r>
      <w:r w:rsidRPr="000D24B2">
        <w:t xml:space="preserve">est pas utilisée comme unité, on ne compte pas 3 vingtaines de pommes. En revanche, la dizaine, la douzaine, la centaine ont cette vocation. </w:t>
      </w:r>
      <w:r w:rsidR="00C04B14" w:rsidRPr="000D24B2">
        <w:t>La douzaine pourra être rencontrée comme unité dans certains problèmes du champ m</w:t>
      </w:r>
      <w:r w:rsidRPr="000D24B2">
        <w:t>ultiplicati</w:t>
      </w:r>
      <w:r w:rsidR="00C04B14" w:rsidRPr="000D24B2">
        <w:t>f.</w:t>
      </w:r>
    </w:p>
    <w:p w:rsidR="00886B27" w:rsidRPr="000D24B2" w:rsidRDefault="00886B27" w:rsidP="00945D92">
      <w:pPr>
        <w:jc w:val="both"/>
      </w:pPr>
      <w:r w:rsidRPr="000D24B2">
        <w:t>L</w:t>
      </w:r>
      <w:r w:rsidR="00261145" w:rsidRPr="000D24B2">
        <w:t>’</w:t>
      </w:r>
      <w:r w:rsidRPr="000D24B2">
        <w:t xml:space="preserve">exercice encadré </w:t>
      </w:r>
      <w:r w:rsidR="00C04B14" w:rsidRPr="000D24B2">
        <w:t xml:space="preserve">ci-après </w:t>
      </w:r>
      <w:r w:rsidRPr="000D24B2">
        <w:t>propose une tâche de dénombrement, dans une unité qui n</w:t>
      </w:r>
      <w:r w:rsidR="00261145" w:rsidRPr="000D24B2">
        <w:t>’</w:t>
      </w:r>
      <w:r w:rsidRPr="000D24B2">
        <w:t>est pas l</w:t>
      </w:r>
      <w:r w:rsidR="00261145" w:rsidRPr="000D24B2">
        <w:t>’</w:t>
      </w:r>
      <w:r w:rsidRPr="000D24B2">
        <w:t>étoile (l</w:t>
      </w:r>
      <w:r w:rsidR="00261145" w:rsidRPr="000D24B2">
        <w:t>’</w:t>
      </w:r>
      <w:r w:rsidRPr="000D24B2">
        <w:t>unité simple) mais la dizaine d</w:t>
      </w:r>
      <w:r w:rsidR="00261145" w:rsidRPr="000D24B2">
        <w:t>’</w:t>
      </w:r>
      <w:r w:rsidRPr="000D24B2">
        <w:t>étoiles. Il permet d</w:t>
      </w:r>
      <w:r w:rsidR="00261145" w:rsidRPr="000D24B2">
        <w:t>’</w:t>
      </w:r>
      <w:r w:rsidRPr="000D24B2">
        <w:t>évaluer la compréhension de la dizaine comme unité. Il peut être utilisé dès le CE1, voire à la fin du CP.</w:t>
      </w:r>
    </w:p>
    <w:p w:rsidR="00F65D8E" w:rsidRPr="000D24B2" w:rsidRDefault="00F65D8E" w:rsidP="00945D92">
      <w:pPr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8"/>
        <w:gridCol w:w="2784"/>
      </w:tblGrid>
      <w:tr w:rsidR="00886B27" w:rsidRPr="000D24B2" w:rsidTr="00DF6131">
        <w:trPr>
          <w:jc w:val="center"/>
        </w:trPr>
        <w:tc>
          <w:tcPr>
            <w:tcW w:w="5688" w:type="dxa"/>
            <w:shd w:val="clear" w:color="auto" w:fill="auto"/>
          </w:tcPr>
          <w:p w:rsidR="00886B27" w:rsidRPr="000D24B2" w:rsidRDefault="0029699A" w:rsidP="00945D92">
            <w:pPr>
              <w:jc w:val="both"/>
            </w:pPr>
            <w:r w:rsidRPr="000D24B2">
              <w:rPr>
                <w:noProof/>
              </w:rPr>
              <w:drawing>
                <wp:inline distT="0" distB="0" distL="0" distR="0">
                  <wp:extent cx="3670300" cy="1044575"/>
                  <wp:effectExtent l="19050" t="0" r="635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0300" cy="1044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4" w:type="dxa"/>
            <w:shd w:val="clear" w:color="auto" w:fill="auto"/>
            <w:vAlign w:val="center"/>
          </w:tcPr>
          <w:p w:rsidR="00886B27" w:rsidRPr="000D24B2" w:rsidRDefault="00886B27" w:rsidP="00945D92">
            <w:pPr>
              <w:jc w:val="both"/>
            </w:pPr>
            <w:r w:rsidRPr="000D24B2">
              <w:t>Combien y a-t-il de dizaines d</w:t>
            </w:r>
            <w:r w:rsidR="00261145" w:rsidRPr="000D24B2">
              <w:t>’</w:t>
            </w:r>
            <w:r w:rsidRPr="000D24B2">
              <w:t>étoiles ?</w:t>
            </w:r>
          </w:p>
        </w:tc>
      </w:tr>
    </w:tbl>
    <w:p w:rsidR="009371F3" w:rsidRPr="000D24B2" w:rsidRDefault="009371F3" w:rsidP="00945D92">
      <w:pPr>
        <w:jc w:val="both"/>
      </w:pPr>
    </w:p>
    <w:p w:rsidR="00C04B14" w:rsidRPr="000D24B2" w:rsidRDefault="005F0AF7" w:rsidP="00945D92">
      <w:pPr>
        <w:jc w:val="both"/>
      </w:pPr>
      <w:r w:rsidRPr="000D24B2">
        <w:t>Les unités de numération sont de dix en dix fois plus grandes : dix unités d</w:t>
      </w:r>
      <w:r w:rsidR="00261145" w:rsidRPr="000D24B2">
        <w:t>’</w:t>
      </w:r>
      <w:r w:rsidRPr="000D24B2">
        <w:t>un certain ordre forment une unité de l</w:t>
      </w:r>
      <w:r w:rsidR="00261145" w:rsidRPr="000D24B2">
        <w:t>’</w:t>
      </w:r>
      <w:r w:rsidR="00C04B14" w:rsidRPr="000D24B2">
        <w:t>ordre immédiatement supérieur.</w:t>
      </w:r>
    </w:p>
    <w:p w:rsidR="005F0AF7" w:rsidRPr="000D24B2" w:rsidRDefault="005F0AF7" w:rsidP="00945D92">
      <w:pPr>
        <w:jc w:val="both"/>
      </w:pPr>
      <w:r w:rsidRPr="000D24B2">
        <w:t>L</w:t>
      </w:r>
      <w:r w:rsidR="00261145" w:rsidRPr="000D24B2">
        <w:t>’</w:t>
      </w:r>
      <w:r w:rsidRPr="000D24B2">
        <w:t>enjeu de l</w:t>
      </w:r>
      <w:r w:rsidR="00261145" w:rsidRPr="000D24B2">
        <w:t>’</w:t>
      </w:r>
      <w:r w:rsidRPr="000D24B2">
        <w:t>enseignement de la numération décimale positionnelle est donc que les élèves comprennent ce principe et apprennent que l</w:t>
      </w:r>
      <w:r w:rsidR="00261145" w:rsidRPr="000D24B2">
        <w:t>’</w:t>
      </w:r>
      <w:r w:rsidRPr="000D24B2">
        <w:t xml:space="preserve">écriture chiffrée est la juxtaposition, de droite à </w:t>
      </w:r>
      <w:r w:rsidRPr="000D24B2">
        <w:lastRenderedPageBreak/>
        <w:t>gauche, du nombre (inférieur à dix) d</w:t>
      </w:r>
      <w:r w:rsidR="00261145" w:rsidRPr="000D24B2">
        <w:t>’</w:t>
      </w:r>
      <w:r w:rsidRPr="000D24B2">
        <w:t>unités de chaque ordre, ordonnée selon la taille croissante des unités, les rangs des unités non représentées étant occupés par le signe 0 (zéro).</w:t>
      </w:r>
    </w:p>
    <w:p w:rsidR="005F0AF7" w:rsidRPr="000D24B2" w:rsidRDefault="00C04B14" w:rsidP="00945D92">
      <w:pPr>
        <w:jc w:val="both"/>
      </w:pPr>
      <w:r w:rsidRPr="000D24B2">
        <w:t>U</w:t>
      </w:r>
      <w:r w:rsidR="005F0AF7" w:rsidRPr="000D24B2">
        <w:t>n nombre peut s</w:t>
      </w:r>
      <w:r w:rsidR="00261145" w:rsidRPr="000D24B2">
        <w:t>’</w:t>
      </w:r>
      <w:r w:rsidR="005F0AF7" w:rsidRPr="000D24B2">
        <w:t xml:space="preserve">exprimer de plusieurs façons en unités de numération. </w:t>
      </w:r>
      <w:r w:rsidR="00945D92" w:rsidRPr="000D24B2">
        <w:t>Ré</w:t>
      </w:r>
      <w:r w:rsidR="005F0AF7" w:rsidRPr="000D24B2">
        <w:t>ciproquement, l</w:t>
      </w:r>
      <w:r w:rsidR="00261145" w:rsidRPr="000D24B2">
        <w:t>’</w:t>
      </w:r>
      <w:r w:rsidR="005F0AF7" w:rsidRPr="000D24B2">
        <w:t>écriture chiffrée donne immédiatement une écriture réduite en unités.</w:t>
      </w:r>
    </w:p>
    <w:p w:rsidR="005F0AF7" w:rsidRPr="000D24B2" w:rsidRDefault="007C6F97" w:rsidP="00945D92">
      <w:pPr>
        <w:jc w:val="both"/>
      </w:pPr>
      <w:r w:rsidRPr="000D24B2">
        <w:t xml:space="preserve">Par exemple, </w:t>
      </w:r>
      <w:r w:rsidR="005F0AF7" w:rsidRPr="000D24B2">
        <w:t>6</w:t>
      </w:r>
      <w:r w:rsidR="00C04B14" w:rsidRPr="000D24B2">
        <w:rPr>
          <w:vertAlign w:val="superscript"/>
        </w:rPr>
        <w:t> </w:t>
      </w:r>
      <w:r w:rsidR="005F0AF7" w:rsidRPr="000D24B2">
        <w:t>d 4</w:t>
      </w:r>
      <w:r w:rsidR="00C04B14" w:rsidRPr="000D24B2">
        <w:rPr>
          <w:vertAlign w:val="superscript"/>
        </w:rPr>
        <w:t> </w:t>
      </w:r>
      <w:r w:rsidR="005F0AF7" w:rsidRPr="000D24B2">
        <w:t>u 3</w:t>
      </w:r>
      <w:r w:rsidR="00C04B14" w:rsidRPr="000D24B2">
        <w:rPr>
          <w:vertAlign w:val="superscript"/>
        </w:rPr>
        <w:t> </w:t>
      </w:r>
      <w:r w:rsidR="005F0AF7" w:rsidRPr="000D24B2">
        <w:t>c, c</w:t>
      </w:r>
      <w:r w:rsidR="00261145" w:rsidRPr="000D24B2">
        <w:t>’</w:t>
      </w:r>
      <w:r w:rsidR="005F0AF7" w:rsidRPr="000D24B2">
        <w:t>est aussi 3</w:t>
      </w:r>
      <w:r w:rsidR="00C04B14" w:rsidRPr="000D24B2">
        <w:rPr>
          <w:vertAlign w:val="superscript"/>
        </w:rPr>
        <w:t> </w:t>
      </w:r>
      <w:r w:rsidR="005F0AF7" w:rsidRPr="000D24B2">
        <w:t>c 6</w:t>
      </w:r>
      <w:r w:rsidR="00C04B14" w:rsidRPr="000D24B2">
        <w:rPr>
          <w:vertAlign w:val="superscript"/>
        </w:rPr>
        <w:t> </w:t>
      </w:r>
      <w:r w:rsidR="005F0AF7" w:rsidRPr="000D24B2">
        <w:t>d 4</w:t>
      </w:r>
      <w:r w:rsidR="00C04B14" w:rsidRPr="000D24B2">
        <w:rPr>
          <w:vertAlign w:val="superscript"/>
        </w:rPr>
        <w:t> </w:t>
      </w:r>
      <w:r w:rsidRPr="000D24B2">
        <w:t>u qui s</w:t>
      </w:r>
      <w:r w:rsidR="00261145" w:rsidRPr="000D24B2">
        <w:t>’</w:t>
      </w:r>
      <w:r w:rsidRPr="000D24B2">
        <w:t>écrit en chiffres 364</w:t>
      </w:r>
      <w:r w:rsidR="006B65F9" w:rsidRPr="000D24B2">
        <w:t xml:space="preserve">. De même, </w:t>
      </w:r>
      <w:r w:rsidR="005F0AF7" w:rsidRPr="000D24B2">
        <w:t>5</w:t>
      </w:r>
      <w:r w:rsidR="00C04B14" w:rsidRPr="000D24B2">
        <w:rPr>
          <w:vertAlign w:val="superscript"/>
        </w:rPr>
        <w:t> </w:t>
      </w:r>
      <w:r w:rsidR="005F0AF7" w:rsidRPr="000D24B2">
        <w:t>u 4</w:t>
      </w:r>
      <w:r w:rsidR="00C04B14" w:rsidRPr="000D24B2">
        <w:rPr>
          <w:vertAlign w:val="superscript"/>
        </w:rPr>
        <w:t> </w:t>
      </w:r>
      <w:r w:rsidR="005F0AF7" w:rsidRPr="000D24B2">
        <w:t>c, c</w:t>
      </w:r>
      <w:r w:rsidR="00261145" w:rsidRPr="000D24B2">
        <w:t>’</w:t>
      </w:r>
      <w:r w:rsidR="005F0AF7" w:rsidRPr="000D24B2">
        <w:t>est aussi 4</w:t>
      </w:r>
      <w:r w:rsidR="00C04B14" w:rsidRPr="000D24B2">
        <w:rPr>
          <w:vertAlign w:val="superscript"/>
        </w:rPr>
        <w:t> </w:t>
      </w:r>
      <w:r w:rsidR="005F0AF7" w:rsidRPr="000D24B2">
        <w:t>c</w:t>
      </w:r>
      <w:r w:rsidRPr="000D24B2">
        <w:t> </w:t>
      </w:r>
      <w:r w:rsidR="005F0AF7" w:rsidRPr="000D24B2">
        <w:t>5</w:t>
      </w:r>
      <w:r w:rsidR="00C04B14" w:rsidRPr="000D24B2">
        <w:rPr>
          <w:vertAlign w:val="superscript"/>
        </w:rPr>
        <w:t> </w:t>
      </w:r>
      <w:r w:rsidR="005F0AF7" w:rsidRPr="000D24B2">
        <w:t>u qui s</w:t>
      </w:r>
      <w:r w:rsidR="00261145" w:rsidRPr="000D24B2">
        <w:t>’</w:t>
      </w:r>
      <w:r w:rsidR="005F0AF7" w:rsidRPr="000D24B2">
        <w:t>écrit en chiffres 405.</w:t>
      </w:r>
      <w:r w:rsidRPr="000D24B2">
        <w:t xml:space="preserve"> R</w:t>
      </w:r>
      <w:r w:rsidR="005F0AF7" w:rsidRPr="000D24B2">
        <w:t>éciproquement</w:t>
      </w:r>
      <w:r w:rsidRPr="000D24B2">
        <w:t>,</w:t>
      </w:r>
      <w:r w:rsidR="005F0AF7" w:rsidRPr="000D24B2">
        <w:t xml:space="preserve"> 607 c</w:t>
      </w:r>
      <w:r w:rsidR="00261145" w:rsidRPr="000D24B2">
        <w:t>’</w:t>
      </w:r>
      <w:r w:rsidR="005F0AF7" w:rsidRPr="000D24B2">
        <w:t>est 6</w:t>
      </w:r>
      <w:r w:rsidRPr="000D24B2">
        <w:rPr>
          <w:vertAlign w:val="superscript"/>
        </w:rPr>
        <w:t> </w:t>
      </w:r>
      <w:r w:rsidR="005F0AF7" w:rsidRPr="000D24B2">
        <w:t>c</w:t>
      </w:r>
      <w:r w:rsidRPr="000D24B2">
        <w:t> </w:t>
      </w:r>
      <w:r w:rsidR="005F0AF7" w:rsidRPr="000D24B2">
        <w:t>7</w:t>
      </w:r>
      <w:r w:rsidRPr="000D24B2">
        <w:rPr>
          <w:vertAlign w:val="superscript"/>
        </w:rPr>
        <w:t> </w:t>
      </w:r>
      <w:r w:rsidR="005F0AF7" w:rsidRPr="000D24B2">
        <w:t>u</w:t>
      </w:r>
      <w:r w:rsidR="00883BA0" w:rsidRPr="000D24B2">
        <w:t>.</w:t>
      </w:r>
    </w:p>
    <w:p w:rsidR="005F0AF7" w:rsidRPr="000D24B2" w:rsidRDefault="005F0AF7" w:rsidP="00945D92">
      <w:pPr>
        <w:jc w:val="both"/>
      </w:pPr>
      <w:r w:rsidRPr="000D24B2">
        <w:t>Si un nombre contient plus de dix unités d</w:t>
      </w:r>
      <w:r w:rsidR="00261145" w:rsidRPr="000D24B2">
        <w:t>’</w:t>
      </w:r>
      <w:r w:rsidRPr="000D24B2">
        <w:t>un certain ordre, ce nombre d</w:t>
      </w:r>
      <w:r w:rsidR="00261145" w:rsidRPr="000D24B2">
        <w:t>’</w:t>
      </w:r>
      <w:r w:rsidRPr="000D24B2">
        <w:t xml:space="preserve">unités peut toujours être réduit en effectuant des conversions entre unités liées à leurs relations. </w:t>
      </w:r>
    </w:p>
    <w:p w:rsidR="005F0AF7" w:rsidRPr="000D24B2" w:rsidRDefault="007C6F97" w:rsidP="00945D92">
      <w:pPr>
        <w:jc w:val="both"/>
      </w:pPr>
      <w:r w:rsidRPr="000D24B2">
        <w:t>E</w:t>
      </w:r>
      <w:r w:rsidR="005F0AF7" w:rsidRPr="000D24B2">
        <w:t>xemple pour le nombre</w:t>
      </w:r>
      <w:r w:rsidRPr="000D24B2">
        <w:t xml:space="preserve"> </w:t>
      </w:r>
      <w:r w:rsidR="005F0AF7" w:rsidRPr="000D24B2">
        <w:t>14</w:t>
      </w:r>
      <w:r w:rsidRPr="000D24B2">
        <w:rPr>
          <w:vertAlign w:val="superscript"/>
        </w:rPr>
        <w:t> </w:t>
      </w:r>
      <w:r w:rsidR="005F0AF7" w:rsidRPr="000D24B2">
        <w:t>d</w:t>
      </w:r>
      <w:r w:rsidRPr="000D24B2">
        <w:t> </w:t>
      </w:r>
      <w:r w:rsidR="005F0AF7" w:rsidRPr="000D24B2">
        <w:t>2</w:t>
      </w:r>
      <w:r w:rsidRPr="000D24B2">
        <w:rPr>
          <w:vertAlign w:val="superscript"/>
        </w:rPr>
        <w:t> </w:t>
      </w:r>
      <w:r w:rsidR="005F0AF7" w:rsidRPr="000D24B2">
        <w:t>c</w:t>
      </w:r>
      <w:r w:rsidR="00883BA0" w:rsidRPr="000D24B2">
        <w:t> :</w:t>
      </w:r>
      <w:r w:rsidR="005D58B3">
        <w:t xml:space="preserve"> </w:t>
      </w:r>
      <w:r w:rsidR="005F0AF7" w:rsidRPr="000D24B2">
        <w:t>14</w:t>
      </w:r>
      <w:r w:rsidRPr="000D24B2">
        <w:rPr>
          <w:vertAlign w:val="superscript"/>
        </w:rPr>
        <w:t> </w:t>
      </w:r>
      <w:r w:rsidR="005F0AF7" w:rsidRPr="000D24B2">
        <w:t>d</w:t>
      </w:r>
      <w:r w:rsidR="00883BA0" w:rsidRPr="000D24B2">
        <w:t xml:space="preserve"> </w:t>
      </w:r>
      <w:r w:rsidR="005F0AF7" w:rsidRPr="000D24B2">
        <w:t>= 10</w:t>
      </w:r>
      <w:r w:rsidR="00883BA0" w:rsidRPr="000D24B2">
        <w:rPr>
          <w:vertAlign w:val="superscript"/>
        </w:rPr>
        <w:t> </w:t>
      </w:r>
      <w:r w:rsidR="005F0AF7" w:rsidRPr="000D24B2">
        <w:t>d</w:t>
      </w:r>
      <w:r w:rsidR="005D58B3">
        <w:t> </w:t>
      </w:r>
      <w:r w:rsidR="005F0AF7" w:rsidRPr="000D24B2">
        <w:t>+</w:t>
      </w:r>
      <w:r w:rsidR="005D58B3">
        <w:t> </w:t>
      </w:r>
      <w:r w:rsidRPr="000D24B2">
        <w:t>4</w:t>
      </w:r>
      <w:r w:rsidRPr="000D24B2">
        <w:rPr>
          <w:vertAlign w:val="superscript"/>
        </w:rPr>
        <w:t> </w:t>
      </w:r>
      <w:r w:rsidRPr="000D24B2">
        <w:t>d</w:t>
      </w:r>
      <w:r w:rsidR="005D58B3">
        <w:t> ;</w:t>
      </w:r>
      <w:r w:rsidRPr="000D24B2">
        <w:t xml:space="preserve"> comme</w:t>
      </w:r>
      <w:r w:rsidR="005F0AF7" w:rsidRPr="000D24B2">
        <w:t xml:space="preserve"> 10</w:t>
      </w:r>
      <w:r w:rsidRPr="000D24B2">
        <w:rPr>
          <w:vertAlign w:val="superscript"/>
        </w:rPr>
        <w:t> </w:t>
      </w:r>
      <w:r w:rsidR="005F0AF7" w:rsidRPr="000D24B2">
        <w:t>d = 1</w:t>
      </w:r>
      <w:r w:rsidRPr="000D24B2">
        <w:rPr>
          <w:vertAlign w:val="superscript"/>
        </w:rPr>
        <w:t> </w:t>
      </w:r>
      <w:r w:rsidR="005F0AF7" w:rsidRPr="000D24B2">
        <w:t>c, alors 14</w:t>
      </w:r>
      <w:r w:rsidRPr="000D24B2">
        <w:rPr>
          <w:vertAlign w:val="superscript"/>
        </w:rPr>
        <w:t> </w:t>
      </w:r>
      <w:r w:rsidR="005F0AF7" w:rsidRPr="000D24B2">
        <w:t>d= 1</w:t>
      </w:r>
      <w:r w:rsidRPr="000D24B2">
        <w:rPr>
          <w:vertAlign w:val="superscript"/>
        </w:rPr>
        <w:t> </w:t>
      </w:r>
      <w:r w:rsidR="005F0AF7" w:rsidRPr="000D24B2">
        <w:t>c</w:t>
      </w:r>
      <w:r w:rsidRPr="000D24B2">
        <w:t xml:space="preserve"> </w:t>
      </w:r>
      <w:r w:rsidR="005F0AF7" w:rsidRPr="000D24B2">
        <w:t>+</w:t>
      </w:r>
      <w:r w:rsidRPr="000D24B2">
        <w:t xml:space="preserve"> </w:t>
      </w:r>
      <w:r w:rsidR="005F0AF7" w:rsidRPr="000D24B2">
        <w:t>4</w:t>
      </w:r>
      <w:r w:rsidRPr="000D24B2">
        <w:rPr>
          <w:vertAlign w:val="superscript"/>
        </w:rPr>
        <w:t> </w:t>
      </w:r>
      <w:r w:rsidR="005F0AF7" w:rsidRPr="000D24B2">
        <w:t>d et 14</w:t>
      </w:r>
      <w:r w:rsidRPr="000D24B2">
        <w:rPr>
          <w:vertAlign w:val="superscript"/>
        </w:rPr>
        <w:t> </w:t>
      </w:r>
      <w:r w:rsidR="005F0AF7" w:rsidRPr="000D24B2">
        <w:t>d</w:t>
      </w:r>
      <w:r w:rsidRPr="000D24B2">
        <w:t> </w:t>
      </w:r>
      <w:r w:rsidR="005F0AF7" w:rsidRPr="000D24B2">
        <w:t>2</w:t>
      </w:r>
      <w:r w:rsidRPr="000D24B2">
        <w:rPr>
          <w:vertAlign w:val="superscript"/>
        </w:rPr>
        <w:t> </w:t>
      </w:r>
      <w:r w:rsidR="005F0AF7" w:rsidRPr="000D24B2">
        <w:t>c</w:t>
      </w:r>
      <w:r w:rsidRPr="000D24B2">
        <w:t xml:space="preserve"> </w:t>
      </w:r>
      <w:r w:rsidR="005F0AF7" w:rsidRPr="000D24B2">
        <w:t>= 1</w:t>
      </w:r>
      <w:r w:rsidRPr="000D24B2">
        <w:rPr>
          <w:vertAlign w:val="superscript"/>
        </w:rPr>
        <w:t> </w:t>
      </w:r>
      <w:r w:rsidR="005F0AF7" w:rsidRPr="000D24B2">
        <w:t>c</w:t>
      </w:r>
      <w:r w:rsidRPr="000D24B2">
        <w:t xml:space="preserve"> </w:t>
      </w:r>
      <w:r w:rsidR="005F0AF7" w:rsidRPr="000D24B2">
        <w:t>+</w:t>
      </w:r>
      <w:r w:rsidRPr="000D24B2">
        <w:t xml:space="preserve"> </w:t>
      </w:r>
      <w:r w:rsidR="005F0AF7" w:rsidRPr="000D24B2">
        <w:t>4</w:t>
      </w:r>
      <w:r w:rsidRPr="000D24B2">
        <w:rPr>
          <w:vertAlign w:val="superscript"/>
        </w:rPr>
        <w:t> </w:t>
      </w:r>
      <w:r w:rsidR="005F0AF7" w:rsidRPr="000D24B2">
        <w:t>d</w:t>
      </w:r>
      <w:r w:rsidRPr="000D24B2">
        <w:t xml:space="preserve"> </w:t>
      </w:r>
      <w:r w:rsidR="005F0AF7" w:rsidRPr="000D24B2">
        <w:t>+</w:t>
      </w:r>
      <w:r w:rsidRPr="000D24B2">
        <w:t xml:space="preserve"> </w:t>
      </w:r>
      <w:r w:rsidR="005F0AF7" w:rsidRPr="000D24B2">
        <w:t>2</w:t>
      </w:r>
      <w:r w:rsidRPr="000D24B2">
        <w:rPr>
          <w:vertAlign w:val="superscript"/>
        </w:rPr>
        <w:t> </w:t>
      </w:r>
      <w:r w:rsidR="005F0AF7" w:rsidRPr="000D24B2">
        <w:t>c</w:t>
      </w:r>
      <w:r w:rsidRPr="000D24B2">
        <w:t xml:space="preserve"> </w:t>
      </w:r>
      <w:r w:rsidR="005F0AF7" w:rsidRPr="000D24B2">
        <w:t>=</w:t>
      </w:r>
      <w:r w:rsidRPr="000D24B2">
        <w:t xml:space="preserve"> </w:t>
      </w:r>
      <w:r w:rsidR="005F0AF7" w:rsidRPr="000D24B2">
        <w:t>3</w:t>
      </w:r>
      <w:r w:rsidRPr="000D24B2">
        <w:rPr>
          <w:vertAlign w:val="superscript"/>
        </w:rPr>
        <w:t> </w:t>
      </w:r>
      <w:r w:rsidR="005F0AF7" w:rsidRPr="000D24B2">
        <w:t>c</w:t>
      </w:r>
      <w:r w:rsidRPr="000D24B2">
        <w:t> </w:t>
      </w:r>
      <w:r w:rsidR="005F0AF7" w:rsidRPr="000D24B2">
        <w:t>+</w:t>
      </w:r>
      <w:r w:rsidRPr="000D24B2">
        <w:t> </w:t>
      </w:r>
      <w:r w:rsidR="005F0AF7" w:rsidRPr="000D24B2">
        <w:t>4</w:t>
      </w:r>
      <w:r w:rsidRPr="000D24B2">
        <w:rPr>
          <w:vertAlign w:val="superscript"/>
        </w:rPr>
        <w:t> </w:t>
      </w:r>
      <w:r w:rsidR="005F0AF7" w:rsidRPr="000D24B2">
        <w:t>d</w:t>
      </w:r>
      <w:r w:rsidR="00883BA0" w:rsidRPr="000D24B2">
        <w:t>.</w:t>
      </w:r>
    </w:p>
    <w:p w:rsidR="005F0AF7" w:rsidRPr="000D24B2" w:rsidRDefault="005F0AF7" w:rsidP="00945D92">
      <w:pPr>
        <w:jc w:val="both"/>
      </w:pPr>
      <w:r w:rsidRPr="000D24B2">
        <w:t>Pour passer d</w:t>
      </w:r>
      <w:r w:rsidR="00261145" w:rsidRPr="000D24B2">
        <w:t>’</w:t>
      </w:r>
      <w:r w:rsidRPr="000D24B2">
        <w:t>une décomposition en unités de numération d</w:t>
      </w:r>
      <w:r w:rsidR="00261145" w:rsidRPr="000D24B2">
        <w:t>’</w:t>
      </w:r>
      <w:r w:rsidRPr="000D24B2">
        <w:t>un nombre à son écriture chiffrée, deux procédés peuvent être utilisés</w:t>
      </w:r>
      <w:r w:rsidR="009371F3" w:rsidRPr="000D24B2">
        <w:t>. Prenons l</w:t>
      </w:r>
      <w:r w:rsidR="00261145" w:rsidRPr="000D24B2">
        <w:t>’</w:t>
      </w:r>
      <w:r w:rsidR="009371F3" w:rsidRPr="000D24B2">
        <w:t>exemple de 14</w:t>
      </w:r>
      <w:r w:rsidR="009371F3" w:rsidRPr="000D24B2">
        <w:rPr>
          <w:vertAlign w:val="superscript"/>
        </w:rPr>
        <w:t> </w:t>
      </w:r>
      <w:r w:rsidR="009371F3" w:rsidRPr="000D24B2">
        <w:t>d 2</w:t>
      </w:r>
      <w:r w:rsidR="009371F3" w:rsidRPr="000D24B2">
        <w:rPr>
          <w:vertAlign w:val="superscript"/>
        </w:rPr>
        <w:t> </w:t>
      </w:r>
      <w:r w:rsidR="009371F3" w:rsidRPr="000D24B2">
        <w:t>c </w:t>
      </w:r>
      <w:r w:rsidRPr="000D24B2">
        <w:t xml:space="preserve">: </w:t>
      </w:r>
    </w:p>
    <w:p w:rsidR="005F0AF7" w:rsidRPr="000D24B2" w:rsidRDefault="007B23CD" w:rsidP="00945D92">
      <w:pPr>
        <w:jc w:val="both"/>
      </w:pPr>
      <w:r w:rsidRPr="000D24B2">
        <w:t>– </w:t>
      </w:r>
      <w:r w:rsidR="005F0AF7" w:rsidRPr="000D24B2">
        <w:t>trouver l</w:t>
      </w:r>
      <w:r w:rsidR="00261145" w:rsidRPr="000D24B2">
        <w:t>’</w:t>
      </w:r>
      <w:r w:rsidR="005F0AF7" w:rsidRPr="000D24B2">
        <w:t>écriture réduite en unités de numération</w:t>
      </w:r>
      <w:r w:rsidR="000C21A6" w:rsidRPr="000D24B2">
        <w:t xml:space="preserve">. </w:t>
      </w:r>
      <w:r w:rsidR="009371F3" w:rsidRPr="000D24B2">
        <w:t>P</w:t>
      </w:r>
      <w:r w:rsidR="005F0AF7" w:rsidRPr="000D24B2">
        <w:t>our</w:t>
      </w:r>
      <w:r w:rsidR="009371F3" w:rsidRPr="000D24B2">
        <w:t xml:space="preserve"> 14</w:t>
      </w:r>
      <w:r w:rsidR="009371F3" w:rsidRPr="000D24B2">
        <w:rPr>
          <w:vertAlign w:val="superscript"/>
        </w:rPr>
        <w:t> </w:t>
      </w:r>
      <w:r w:rsidR="009371F3" w:rsidRPr="000D24B2">
        <w:t>d 2</w:t>
      </w:r>
      <w:r w:rsidR="009371F3" w:rsidRPr="000D24B2">
        <w:rPr>
          <w:vertAlign w:val="superscript"/>
        </w:rPr>
        <w:t> </w:t>
      </w:r>
      <w:r w:rsidR="009371F3" w:rsidRPr="000D24B2">
        <w:t>c</w:t>
      </w:r>
      <w:r w:rsidR="005F0AF7" w:rsidRPr="000D24B2">
        <w:t xml:space="preserve">, </w:t>
      </w:r>
      <w:r w:rsidR="000C21A6" w:rsidRPr="000D24B2">
        <w:t xml:space="preserve">cette écriture réduite est </w:t>
      </w:r>
      <w:r w:rsidR="005F0AF7" w:rsidRPr="000D24B2">
        <w:t>3</w:t>
      </w:r>
      <w:r w:rsidR="007C6F97" w:rsidRPr="000D24B2">
        <w:rPr>
          <w:vertAlign w:val="superscript"/>
        </w:rPr>
        <w:t> </w:t>
      </w:r>
      <w:r w:rsidR="005F0AF7" w:rsidRPr="000D24B2">
        <w:t>c</w:t>
      </w:r>
      <w:r w:rsidR="007C6F97" w:rsidRPr="000D24B2">
        <w:t> </w:t>
      </w:r>
      <w:r w:rsidR="005F0AF7" w:rsidRPr="000D24B2">
        <w:t>4</w:t>
      </w:r>
      <w:r w:rsidR="007C6F97" w:rsidRPr="000D24B2">
        <w:rPr>
          <w:vertAlign w:val="superscript"/>
        </w:rPr>
        <w:t> </w:t>
      </w:r>
      <w:r w:rsidR="005F0AF7" w:rsidRPr="000D24B2">
        <w:t>d</w:t>
      </w:r>
      <w:r w:rsidR="000C21A6" w:rsidRPr="000D24B2">
        <w:t>. P</w:t>
      </w:r>
      <w:r w:rsidR="005F0AF7" w:rsidRPr="000D24B2">
        <w:t>our exprimer l</w:t>
      </w:r>
      <w:r w:rsidR="00261145" w:rsidRPr="000D24B2">
        <w:t>’</w:t>
      </w:r>
      <w:r w:rsidR="005F0AF7" w:rsidRPr="000D24B2">
        <w:t>absence d</w:t>
      </w:r>
      <w:r w:rsidR="00261145" w:rsidRPr="000D24B2">
        <w:t>’</w:t>
      </w:r>
      <w:r w:rsidR="005F0AF7" w:rsidRPr="000D24B2">
        <w:t>unités simples, le chiffre des unités est 0 et le nombre s</w:t>
      </w:r>
      <w:r w:rsidR="00261145" w:rsidRPr="000D24B2">
        <w:t>’</w:t>
      </w:r>
      <w:r w:rsidR="005F0AF7" w:rsidRPr="000D24B2">
        <w:t>écrit 340</w:t>
      </w:r>
      <w:r w:rsidR="00883BA0" w:rsidRPr="000D24B2">
        <w:t> ;</w:t>
      </w:r>
    </w:p>
    <w:p w:rsidR="005F0AF7" w:rsidRPr="000D24B2" w:rsidRDefault="007B23CD" w:rsidP="00945D92">
      <w:pPr>
        <w:jc w:val="both"/>
      </w:pPr>
      <w:r w:rsidRPr="000D24B2">
        <w:t>– </w:t>
      </w:r>
      <w:r w:rsidR="005F0AF7" w:rsidRPr="000D24B2">
        <w:t>convertir les diffé</w:t>
      </w:r>
      <w:r w:rsidR="000C21A6" w:rsidRPr="000D24B2">
        <w:t xml:space="preserve">rentes unités en unités simples. </w:t>
      </w:r>
      <w:r w:rsidR="009371F3" w:rsidRPr="000D24B2">
        <w:t>C</w:t>
      </w:r>
      <w:r w:rsidR="005F0AF7" w:rsidRPr="000D24B2">
        <w:t>omme 1</w:t>
      </w:r>
      <w:r w:rsidR="00D42FD6" w:rsidRPr="000D24B2">
        <w:rPr>
          <w:vertAlign w:val="superscript"/>
        </w:rPr>
        <w:t> </w:t>
      </w:r>
      <w:r w:rsidR="005F0AF7" w:rsidRPr="000D24B2">
        <w:t>d= 10</w:t>
      </w:r>
      <w:r w:rsidR="00D42FD6" w:rsidRPr="000D24B2">
        <w:rPr>
          <w:vertAlign w:val="superscript"/>
        </w:rPr>
        <w:t> </w:t>
      </w:r>
      <w:r w:rsidR="005F0AF7" w:rsidRPr="000D24B2">
        <w:t>u alors 14</w:t>
      </w:r>
      <w:r w:rsidR="00D42FD6" w:rsidRPr="000D24B2">
        <w:rPr>
          <w:vertAlign w:val="superscript"/>
        </w:rPr>
        <w:t> </w:t>
      </w:r>
      <w:r w:rsidR="005F0AF7" w:rsidRPr="000D24B2">
        <w:t>d</w:t>
      </w:r>
      <w:r w:rsidR="00D42FD6" w:rsidRPr="000D24B2">
        <w:t xml:space="preserve"> </w:t>
      </w:r>
      <w:r w:rsidR="005F0AF7" w:rsidRPr="000D24B2">
        <w:t>= 140</w:t>
      </w:r>
      <w:r w:rsidR="00D42FD6" w:rsidRPr="000D24B2">
        <w:rPr>
          <w:vertAlign w:val="superscript"/>
        </w:rPr>
        <w:t> </w:t>
      </w:r>
      <w:r w:rsidR="005F0AF7" w:rsidRPr="000D24B2">
        <w:t xml:space="preserve">u puisque </w:t>
      </w:r>
      <w:r w:rsidR="009371F3" w:rsidRPr="000D24B2">
        <w:t>14</w:t>
      </w:r>
      <w:r w:rsidR="009371F3" w:rsidRPr="000D24B2">
        <w:rPr>
          <w:vertAlign w:val="superscript"/>
        </w:rPr>
        <w:t> </w:t>
      </w:r>
      <w:r w:rsidR="009371F3" w:rsidRPr="000D24B2">
        <w:t xml:space="preserve">d, </w:t>
      </w:r>
      <w:r w:rsidR="005F0AF7" w:rsidRPr="000D24B2">
        <w:t>c</w:t>
      </w:r>
      <w:r w:rsidR="00261145" w:rsidRPr="000D24B2">
        <w:t>’</w:t>
      </w:r>
      <w:r w:rsidR="005F0AF7" w:rsidRPr="000D24B2">
        <w:t>est 14 fois plus que 1</w:t>
      </w:r>
      <w:r w:rsidR="00D42FD6" w:rsidRPr="000D24B2">
        <w:rPr>
          <w:vertAlign w:val="superscript"/>
        </w:rPr>
        <w:t> </w:t>
      </w:r>
      <w:r w:rsidR="005F0AF7" w:rsidRPr="000D24B2">
        <w:t>d.</w:t>
      </w:r>
      <w:r w:rsidR="00883BA0" w:rsidRPr="000D24B2">
        <w:t xml:space="preserve"> On a </w:t>
      </w:r>
      <w:r w:rsidR="005F0AF7" w:rsidRPr="000D24B2">
        <w:t>1</w:t>
      </w:r>
      <w:r w:rsidR="00D42FD6" w:rsidRPr="000D24B2">
        <w:rPr>
          <w:vertAlign w:val="superscript"/>
        </w:rPr>
        <w:t> </w:t>
      </w:r>
      <w:r w:rsidR="005F0AF7" w:rsidRPr="000D24B2">
        <w:t>c</w:t>
      </w:r>
      <w:r w:rsidR="00D42FD6" w:rsidRPr="000D24B2">
        <w:t xml:space="preserve"> </w:t>
      </w:r>
      <w:r w:rsidR="005F0AF7" w:rsidRPr="000D24B2">
        <w:t>=</w:t>
      </w:r>
      <w:r w:rsidR="00D42FD6" w:rsidRPr="000D24B2">
        <w:t xml:space="preserve"> </w:t>
      </w:r>
      <w:r w:rsidR="005F0AF7" w:rsidRPr="000D24B2">
        <w:t>100</w:t>
      </w:r>
      <w:r w:rsidR="00D42FD6" w:rsidRPr="000D24B2">
        <w:rPr>
          <w:vertAlign w:val="superscript"/>
        </w:rPr>
        <w:t> </w:t>
      </w:r>
      <w:r w:rsidR="005F0AF7" w:rsidRPr="000D24B2">
        <w:t>u, donc 2</w:t>
      </w:r>
      <w:r w:rsidR="00D42FD6" w:rsidRPr="000D24B2">
        <w:rPr>
          <w:vertAlign w:val="superscript"/>
        </w:rPr>
        <w:t> </w:t>
      </w:r>
      <w:r w:rsidR="005F0AF7" w:rsidRPr="000D24B2">
        <w:t>c</w:t>
      </w:r>
      <w:r w:rsidR="00D42FD6" w:rsidRPr="000D24B2">
        <w:t xml:space="preserve"> </w:t>
      </w:r>
      <w:r w:rsidR="005F0AF7" w:rsidRPr="000D24B2">
        <w:t>=</w:t>
      </w:r>
      <w:r w:rsidR="00D42FD6" w:rsidRPr="000D24B2">
        <w:t xml:space="preserve"> </w:t>
      </w:r>
      <w:r w:rsidR="005F0AF7" w:rsidRPr="000D24B2">
        <w:t>200</w:t>
      </w:r>
      <w:r w:rsidR="00D42FD6" w:rsidRPr="000D24B2">
        <w:rPr>
          <w:vertAlign w:val="superscript"/>
        </w:rPr>
        <w:t> </w:t>
      </w:r>
      <w:r w:rsidR="005F0AF7" w:rsidRPr="000D24B2">
        <w:t>u</w:t>
      </w:r>
      <w:r w:rsidR="00883BA0" w:rsidRPr="000D24B2">
        <w:t xml:space="preserve"> et </w:t>
      </w:r>
      <w:r w:rsidR="005F0AF7" w:rsidRPr="000D24B2">
        <w:t>14</w:t>
      </w:r>
      <w:r w:rsidR="00D42FD6" w:rsidRPr="000D24B2">
        <w:rPr>
          <w:vertAlign w:val="superscript"/>
        </w:rPr>
        <w:t> </w:t>
      </w:r>
      <w:r w:rsidR="005F0AF7" w:rsidRPr="000D24B2">
        <w:t>d</w:t>
      </w:r>
      <w:r w:rsidRPr="000D24B2">
        <w:t> </w:t>
      </w:r>
      <w:r w:rsidR="005F0AF7" w:rsidRPr="000D24B2">
        <w:t>2</w:t>
      </w:r>
      <w:r w:rsidR="00D42FD6" w:rsidRPr="000D24B2">
        <w:rPr>
          <w:vertAlign w:val="superscript"/>
        </w:rPr>
        <w:t> </w:t>
      </w:r>
      <w:r w:rsidR="005F0AF7" w:rsidRPr="000D24B2">
        <w:t>c = 140</w:t>
      </w:r>
      <w:r w:rsidR="00D42FD6" w:rsidRPr="000D24B2">
        <w:rPr>
          <w:vertAlign w:val="superscript"/>
        </w:rPr>
        <w:t> </w:t>
      </w:r>
      <w:r w:rsidR="005F0AF7" w:rsidRPr="000D24B2">
        <w:t>u</w:t>
      </w:r>
      <w:r w:rsidR="00D42FD6" w:rsidRPr="000D24B2">
        <w:t xml:space="preserve"> </w:t>
      </w:r>
      <w:r w:rsidR="005F0AF7" w:rsidRPr="000D24B2">
        <w:t>+</w:t>
      </w:r>
      <w:r w:rsidR="00D42FD6" w:rsidRPr="000D24B2">
        <w:t xml:space="preserve"> </w:t>
      </w:r>
      <w:r w:rsidR="005F0AF7" w:rsidRPr="000D24B2">
        <w:t>200</w:t>
      </w:r>
      <w:r w:rsidR="00D42FD6" w:rsidRPr="000D24B2">
        <w:rPr>
          <w:vertAlign w:val="superscript"/>
        </w:rPr>
        <w:t> </w:t>
      </w:r>
      <w:r w:rsidR="005F0AF7" w:rsidRPr="000D24B2">
        <w:t>u</w:t>
      </w:r>
      <w:r w:rsidR="00D42FD6" w:rsidRPr="000D24B2">
        <w:t xml:space="preserve"> </w:t>
      </w:r>
      <w:r w:rsidR="005F0AF7" w:rsidRPr="000D24B2">
        <w:t>=</w:t>
      </w:r>
      <w:r w:rsidR="00D42FD6" w:rsidRPr="000D24B2">
        <w:t xml:space="preserve"> </w:t>
      </w:r>
      <w:r w:rsidR="005F0AF7" w:rsidRPr="000D24B2">
        <w:t>340</w:t>
      </w:r>
      <w:r w:rsidR="00D42FD6" w:rsidRPr="000D24B2">
        <w:rPr>
          <w:vertAlign w:val="superscript"/>
        </w:rPr>
        <w:t> </w:t>
      </w:r>
      <w:r w:rsidR="005F0AF7" w:rsidRPr="000D24B2">
        <w:t>u</w:t>
      </w:r>
      <w:r w:rsidR="00883BA0" w:rsidRPr="000D24B2">
        <w:t xml:space="preserve">. </w:t>
      </w:r>
      <w:r w:rsidR="006B65F9" w:rsidRPr="000D24B2">
        <w:t>L</w:t>
      </w:r>
      <w:r w:rsidR="005F0AF7" w:rsidRPr="000D24B2">
        <w:t>e nombre 14</w:t>
      </w:r>
      <w:r w:rsidR="00D42FD6" w:rsidRPr="000D24B2">
        <w:rPr>
          <w:vertAlign w:val="superscript"/>
        </w:rPr>
        <w:t> </w:t>
      </w:r>
      <w:r w:rsidR="005F0AF7" w:rsidRPr="000D24B2">
        <w:t>d</w:t>
      </w:r>
      <w:r w:rsidRPr="000D24B2">
        <w:t> </w:t>
      </w:r>
      <w:r w:rsidR="005F0AF7" w:rsidRPr="000D24B2">
        <w:t>2</w:t>
      </w:r>
      <w:r w:rsidR="00D42FD6" w:rsidRPr="000D24B2">
        <w:rPr>
          <w:vertAlign w:val="superscript"/>
        </w:rPr>
        <w:t> </w:t>
      </w:r>
      <w:r w:rsidR="005F0AF7" w:rsidRPr="000D24B2">
        <w:t>c s</w:t>
      </w:r>
      <w:r w:rsidR="00261145" w:rsidRPr="000D24B2">
        <w:t>’</w:t>
      </w:r>
      <w:r w:rsidR="005F0AF7" w:rsidRPr="000D24B2">
        <w:t>écrit donc en chiffres 340</w:t>
      </w:r>
      <w:r w:rsidR="006B65F9" w:rsidRPr="000D24B2">
        <w:t>.</w:t>
      </w:r>
    </w:p>
    <w:p w:rsidR="005F0AF7" w:rsidRPr="000D24B2" w:rsidRDefault="005F0AF7" w:rsidP="00945D92">
      <w:pPr>
        <w:jc w:val="both"/>
      </w:pPr>
      <w:r w:rsidRPr="000D24B2">
        <w:t>Dès le CE1, les élèves doivent apprendre à établir dans les deux sens, en</w:t>
      </w:r>
      <w:r w:rsidR="006B65F9" w:rsidRPr="000D24B2">
        <w:t xml:space="preserve"> se</w:t>
      </w:r>
      <w:r w:rsidRPr="000D24B2">
        <w:t xml:space="preserve"> référant d</w:t>
      </w:r>
      <w:r w:rsidR="00261145" w:rsidRPr="000D24B2">
        <w:t>’</w:t>
      </w:r>
      <w:r w:rsidRPr="000D24B2">
        <w:t>abord à du matériel, des relations telles que : 30</w:t>
      </w:r>
      <w:r w:rsidR="006B65F9" w:rsidRPr="000D24B2">
        <w:rPr>
          <w:vertAlign w:val="superscript"/>
        </w:rPr>
        <w:t> </w:t>
      </w:r>
      <w:r w:rsidRPr="000D24B2">
        <w:t>dizaines = 3</w:t>
      </w:r>
      <w:r w:rsidR="006B65F9" w:rsidRPr="000D24B2">
        <w:rPr>
          <w:vertAlign w:val="superscript"/>
        </w:rPr>
        <w:t> </w:t>
      </w:r>
      <w:r w:rsidRPr="000D24B2">
        <w:t>centaines et 3</w:t>
      </w:r>
      <w:r w:rsidR="006B65F9" w:rsidRPr="000D24B2">
        <w:rPr>
          <w:vertAlign w:val="superscript"/>
        </w:rPr>
        <w:t> </w:t>
      </w:r>
      <w:r w:rsidR="006B65F9" w:rsidRPr="000D24B2">
        <w:t>cen</w:t>
      </w:r>
      <w:r w:rsidRPr="000D24B2">
        <w:t>taines = 30</w:t>
      </w:r>
      <w:r w:rsidR="006B65F9" w:rsidRPr="000D24B2">
        <w:rPr>
          <w:vertAlign w:val="superscript"/>
        </w:rPr>
        <w:t> </w:t>
      </w:r>
      <w:r w:rsidRPr="000D24B2">
        <w:t>dizaines 14</w:t>
      </w:r>
      <w:r w:rsidR="006B65F9" w:rsidRPr="000D24B2">
        <w:rPr>
          <w:vertAlign w:val="superscript"/>
        </w:rPr>
        <w:t> </w:t>
      </w:r>
      <w:r w:rsidRPr="000D24B2">
        <w:t>dizaines = 1</w:t>
      </w:r>
      <w:r w:rsidR="006B65F9" w:rsidRPr="000D24B2">
        <w:rPr>
          <w:vertAlign w:val="superscript"/>
        </w:rPr>
        <w:t> </w:t>
      </w:r>
      <w:r w:rsidRPr="000D24B2">
        <w:t>centaine 4</w:t>
      </w:r>
      <w:r w:rsidR="006B65F9" w:rsidRPr="000D24B2">
        <w:rPr>
          <w:vertAlign w:val="superscript"/>
        </w:rPr>
        <w:t> </w:t>
      </w:r>
      <w:r w:rsidR="006B65F9" w:rsidRPr="000D24B2">
        <w:t xml:space="preserve">dizaines ou </w:t>
      </w:r>
      <w:r w:rsidRPr="000D24B2">
        <w:t>1</w:t>
      </w:r>
      <w:r w:rsidR="006B65F9" w:rsidRPr="000D24B2">
        <w:rPr>
          <w:vertAlign w:val="superscript"/>
        </w:rPr>
        <w:t> </w:t>
      </w:r>
      <w:r w:rsidRPr="000D24B2">
        <w:t>c</w:t>
      </w:r>
      <w:r w:rsidR="007B23CD" w:rsidRPr="000D24B2">
        <w:t> </w:t>
      </w:r>
      <w:r w:rsidRPr="000D24B2">
        <w:t>4</w:t>
      </w:r>
      <w:r w:rsidR="006B65F9" w:rsidRPr="000D24B2">
        <w:rPr>
          <w:vertAlign w:val="superscript"/>
        </w:rPr>
        <w:t> </w:t>
      </w:r>
      <w:r w:rsidRPr="000D24B2">
        <w:t>d=14</w:t>
      </w:r>
      <w:r w:rsidR="006B65F9" w:rsidRPr="000D24B2">
        <w:rPr>
          <w:vertAlign w:val="superscript"/>
        </w:rPr>
        <w:t> </w:t>
      </w:r>
      <w:r w:rsidRPr="000D24B2">
        <w:t>d (pour les nombres inférieurs à 20</w:t>
      </w:r>
      <w:r w:rsidR="00261145" w:rsidRPr="000D24B2">
        <w:t> </w:t>
      </w:r>
      <w:r w:rsidRPr="000D24B2">
        <w:t>dizaines).</w:t>
      </w:r>
    </w:p>
    <w:p w:rsidR="005F0AF7" w:rsidRPr="000D24B2" w:rsidRDefault="005F0AF7" w:rsidP="00945D92">
      <w:pPr>
        <w:jc w:val="both"/>
      </w:pPr>
      <w:r w:rsidRPr="000D24B2">
        <w:t>Les élèves dès le cycle 2 comprennent ainsi progressivement que dix unités d</w:t>
      </w:r>
      <w:r w:rsidR="00261145" w:rsidRPr="000D24B2">
        <w:t>’</w:t>
      </w:r>
      <w:r w:rsidRPr="000D24B2">
        <w:t>un certain ordre représentent une unité de l</w:t>
      </w:r>
      <w:r w:rsidR="00261145" w:rsidRPr="000D24B2">
        <w:t>’</w:t>
      </w:r>
      <w:r w:rsidRPr="000D24B2">
        <w:t xml:space="preserve">ordre immédiatement supérieur, principe qui sera généralisé au cycle 3 pour les grands nombres et les écritures décimales des nombres décimaux. </w:t>
      </w:r>
    </w:p>
    <w:p w:rsidR="002C5D7A" w:rsidRPr="000D24B2" w:rsidRDefault="002C5D7A" w:rsidP="00945D92">
      <w:pPr>
        <w:jc w:val="both"/>
        <w:rPr>
          <w:b/>
        </w:rPr>
      </w:pPr>
    </w:p>
    <w:p w:rsidR="005F0AF7" w:rsidRPr="000D24B2" w:rsidRDefault="005F0AF7" w:rsidP="00945D92">
      <w:pPr>
        <w:jc w:val="both"/>
        <w:rPr>
          <w:b/>
        </w:rPr>
      </w:pPr>
      <w:r w:rsidRPr="000D24B2">
        <w:rPr>
          <w:b/>
        </w:rPr>
        <w:t>Principe de récursivité :</w:t>
      </w:r>
    </w:p>
    <w:p w:rsidR="005F0AF7" w:rsidRPr="000D24B2" w:rsidRDefault="005F0AF7" w:rsidP="00945D92">
      <w:pPr>
        <w:pStyle w:val="Standard"/>
        <w:jc w:val="both"/>
      </w:pPr>
      <w:r w:rsidRPr="000D24B2">
        <w:t>Les principes et propriétés se travaillent et s</w:t>
      </w:r>
      <w:r w:rsidR="00261145" w:rsidRPr="000D24B2">
        <w:t>’</w:t>
      </w:r>
      <w:r w:rsidRPr="000D24B2">
        <w:t>étendent progressivement</w:t>
      </w:r>
      <w:r w:rsidR="009371F3" w:rsidRPr="000D24B2">
        <w:t> </w:t>
      </w:r>
      <w:r w:rsidRPr="000D24B2">
        <w:t>:</w:t>
      </w:r>
    </w:p>
    <w:p w:rsidR="005F0AF7" w:rsidRPr="000D24B2" w:rsidRDefault="007B23CD" w:rsidP="00945D92">
      <w:pPr>
        <w:pStyle w:val="Standard"/>
        <w:jc w:val="both"/>
      </w:pPr>
      <w:r w:rsidRPr="000D24B2">
        <w:t>– </w:t>
      </w:r>
      <w:r w:rsidR="005F0AF7" w:rsidRPr="000D24B2">
        <w:t>sur les nombres à 2 chiffres dès le CP</w:t>
      </w:r>
      <w:r w:rsidR="000D24B2" w:rsidRPr="000D24B2">
        <w:t> ;</w:t>
      </w:r>
    </w:p>
    <w:p w:rsidR="005F0AF7" w:rsidRPr="000D24B2" w:rsidRDefault="007B23CD" w:rsidP="00945D92">
      <w:pPr>
        <w:pStyle w:val="Standard"/>
        <w:jc w:val="both"/>
      </w:pPr>
      <w:r w:rsidRPr="000D24B2">
        <w:t>– </w:t>
      </w:r>
      <w:r w:rsidR="005F0AF7" w:rsidRPr="000D24B2">
        <w:t>sur les nombres à 3 chiffres dès le CE1</w:t>
      </w:r>
      <w:r w:rsidR="000D24B2" w:rsidRPr="000D24B2">
        <w:t> ;</w:t>
      </w:r>
    </w:p>
    <w:p w:rsidR="00EC78CF" w:rsidRPr="000D24B2" w:rsidRDefault="007B23CD" w:rsidP="00945D92">
      <w:pPr>
        <w:pStyle w:val="Standard"/>
        <w:jc w:val="both"/>
      </w:pPr>
      <w:r w:rsidRPr="000D24B2">
        <w:t>– </w:t>
      </w:r>
      <w:r w:rsidR="005F0AF7" w:rsidRPr="000D24B2">
        <w:t>au CE2, pour les nombres à 4 chiffres on s</w:t>
      </w:r>
      <w:r w:rsidR="00261145" w:rsidRPr="000D24B2">
        <w:t>’</w:t>
      </w:r>
      <w:r w:rsidR="005F0AF7" w:rsidRPr="000D24B2">
        <w:t>appuie sur ce qu</w:t>
      </w:r>
      <w:r w:rsidR="00261145" w:rsidRPr="000D24B2">
        <w:t>’</w:t>
      </w:r>
      <w:r w:rsidR="005F0AF7" w:rsidRPr="000D24B2">
        <w:t>on sait déjà sur les nombres à 3 chiffres</w:t>
      </w:r>
      <w:r w:rsidR="00EC78CF" w:rsidRPr="000D24B2">
        <w:t>.</w:t>
      </w:r>
    </w:p>
    <w:p w:rsidR="005F0AF7" w:rsidRPr="000D24B2" w:rsidRDefault="00261145" w:rsidP="00945D92">
      <w:pPr>
        <w:pStyle w:val="Standard"/>
        <w:jc w:val="both"/>
      </w:pPr>
      <w:r w:rsidRPr="000D24B2">
        <w:t>À</w:t>
      </w:r>
      <w:r w:rsidR="00EC78CF" w:rsidRPr="000D24B2">
        <w:t xml:space="preserve"> chaque introduction d</w:t>
      </w:r>
      <w:r w:rsidRPr="000D24B2">
        <w:t>’</w:t>
      </w:r>
      <w:r w:rsidR="00EC78CF" w:rsidRPr="000D24B2">
        <w:t>une nouvelle unité de numération (centaine, millier), les nouvelles relations avec les unités déjà connues viennent enrichir les relations déjà connues</w:t>
      </w:r>
      <w:r w:rsidRPr="000D24B2">
        <w:t>. A</w:t>
      </w:r>
      <w:r w:rsidR="005F0AF7" w:rsidRPr="000D24B2">
        <w:t>u CM, l</w:t>
      </w:r>
      <w:r w:rsidRPr="000D24B2">
        <w:t>’</w:t>
      </w:r>
      <w:r w:rsidR="005F0AF7" w:rsidRPr="000D24B2">
        <w:t>étude des grands nombres utilise et consolide ce qui a été acquis au cours des années antérieures.</w:t>
      </w:r>
    </w:p>
    <w:p w:rsidR="002C5D7A" w:rsidRPr="000D24B2" w:rsidRDefault="002C5D7A" w:rsidP="00945D92">
      <w:pPr>
        <w:jc w:val="both"/>
      </w:pPr>
    </w:p>
    <w:sectPr w:rsidR="002C5D7A" w:rsidRPr="000D24B2" w:rsidSect="005F0AF7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altName w:val="宋体"/>
    <w:charset w:val="86"/>
    <w:family w:val="auto"/>
    <w:pitch w:val="variable"/>
    <w:sig w:usb0="00000003" w:usb1="080E0000" w:usb2="00000010" w:usb3="00000000" w:csb0="0004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256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42F"/>
    <w:rsid w:val="00095049"/>
    <w:rsid w:val="000C21A6"/>
    <w:rsid w:val="000D24B2"/>
    <w:rsid w:val="00232FBA"/>
    <w:rsid w:val="00261145"/>
    <w:rsid w:val="0029699A"/>
    <w:rsid w:val="002C5D7A"/>
    <w:rsid w:val="003D56A1"/>
    <w:rsid w:val="005D58B3"/>
    <w:rsid w:val="005F0AF7"/>
    <w:rsid w:val="006B65F9"/>
    <w:rsid w:val="007235DA"/>
    <w:rsid w:val="007B23CD"/>
    <w:rsid w:val="007C6F97"/>
    <w:rsid w:val="00872EFF"/>
    <w:rsid w:val="00883BA0"/>
    <w:rsid w:val="00886B27"/>
    <w:rsid w:val="009371F3"/>
    <w:rsid w:val="00945D92"/>
    <w:rsid w:val="009838D6"/>
    <w:rsid w:val="00C04B14"/>
    <w:rsid w:val="00D1542F"/>
    <w:rsid w:val="00D42FD6"/>
    <w:rsid w:val="00DF6131"/>
    <w:rsid w:val="00E66561"/>
    <w:rsid w:val="00EC78CF"/>
    <w:rsid w:val="00F65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765D"/>
    <w:rPr>
      <w:sz w:val="24"/>
      <w:szCs w:val="24"/>
    </w:rPr>
  </w:style>
  <w:style w:type="paragraph" w:styleId="Titre3">
    <w:name w:val="heading 3"/>
    <w:basedOn w:val="Normal"/>
    <w:next w:val="Normal"/>
    <w:qFormat/>
    <w:rsid w:val="00944C5D"/>
    <w:pPr>
      <w:widowControl w:val="0"/>
      <w:autoSpaceDE w:val="0"/>
      <w:autoSpaceDN w:val="0"/>
      <w:adjustRightInd w:val="0"/>
      <w:ind w:left="945" w:hanging="225"/>
      <w:outlineLvl w:val="2"/>
    </w:pPr>
    <w:rPr>
      <w:rFonts w:ascii="Arial" w:hAnsi="Arial"/>
      <w:szCs w:val="26"/>
      <w:lang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90765D"/>
    <w:pPr>
      <w:widowControl w:val="0"/>
      <w:suppressAutoHyphens/>
      <w:autoSpaceDN w:val="0"/>
      <w:textAlignment w:val="baseline"/>
    </w:pPr>
    <w:rPr>
      <w:rFonts w:eastAsia="SimSun"/>
      <w:kern w:val="3"/>
      <w:sz w:val="24"/>
      <w:szCs w:val="24"/>
      <w:lang w:eastAsia="zh-CN"/>
    </w:rPr>
  </w:style>
  <w:style w:type="character" w:styleId="Marquedannotation">
    <w:name w:val="annotation reference"/>
    <w:semiHidden/>
    <w:rsid w:val="0090765D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0765D"/>
    <w:rPr>
      <w:sz w:val="20"/>
      <w:szCs w:val="20"/>
    </w:rPr>
  </w:style>
  <w:style w:type="paragraph" w:styleId="Textedebulles">
    <w:name w:val="Balloon Text"/>
    <w:basedOn w:val="Normal"/>
    <w:semiHidden/>
    <w:rsid w:val="0090765D"/>
    <w:rPr>
      <w:rFonts w:ascii="Lucida Grande" w:hAnsi="Lucida Grande"/>
      <w:sz w:val="18"/>
      <w:szCs w:val="18"/>
    </w:rPr>
  </w:style>
  <w:style w:type="table" w:styleId="Grille">
    <w:name w:val="Table Grid"/>
    <w:basedOn w:val="TableauNormal"/>
    <w:rsid w:val="00886B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bjetducommentaire">
    <w:name w:val="annotation subject"/>
    <w:basedOn w:val="Commentaire"/>
    <w:next w:val="Commentaire"/>
    <w:link w:val="ObjetducommentaireCar"/>
    <w:rsid w:val="00C04B14"/>
    <w:rPr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C04B14"/>
  </w:style>
  <w:style w:type="character" w:customStyle="1" w:styleId="ObjetducommentaireCar">
    <w:name w:val="Objet du commentaire Car"/>
    <w:link w:val="Objetducommentaire"/>
    <w:rsid w:val="00C04B14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765D"/>
    <w:rPr>
      <w:sz w:val="24"/>
      <w:szCs w:val="24"/>
    </w:rPr>
  </w:style>
  <w:style w:type="paragraph" w:styleId="Titre3">
    <w:name w:val="heading 3"/>
    <w:basedOn w:val="Normal"/>
    <w:next w:val="Normal"/>
    <w:qFormat/>
    <w:rsid w:val="00944C5D"/>
    <w:pPr>
      <w:widowControl w:val="0"/>
      <w:autoSpaceDE w:val="0"/>
      <w:autoSpaceDN w:val="0"/>
      <w:adjustRightInd w:val="0"/>
      <w:ind w:left="945" w:hanging="225"/>
      <w:outlineLvl w:val="2"/>
    </w:pPr>
    <w:rPr>
      <w:rFonts w:ascii="Arial" w:hAnsi="Arial"/>
      <w:szCs w:val="26"/>
      <w:lang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90765D"/>
    <w:pPr>
      <w:widowControl w:val="0"/>
      <w:suppressAutoHyphens/>
      <w:autoSpaceDN w:val="0"/>
      <w:textAlignment w:val="baseline"/>
    </w:pPr>
    <w:rPr>
      <w:rFonts w:eastAsia="SimSun"/>
      <w:kern w:val="3"/>
      <w:sz w:val="24"/>
      <w:szCs w:val="24"/>
      <w:lang w:eastAsia="zh-CN"/>
    </w:rPr>
  </w:style>
  <w:style w:type="character" w:styleId="Marquedannotation">
    <w:name w:val="annotation reference"/>
    <w:semiHidden/>
    <w:rsid w:val="0090765D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0765D"/>
    <w:rPr>
      <w:sz w:val="20"/>
      <w:szCs w:val="20"/>
    </w:rPr>
  </w:style>
  <w:style w:type="paragraph" w:styleId="Textedebulles">
    <w:name w:val="Balloon Text"/>
    <w:basedOn w:val="Normal"/>
    <w:semiHidden/>
    <w:rsid w:val="0090765D"/>
    <w:rPr>
      <w:rFonts w:ascii="Lucida Grande" w:hAnsi="Lucida Grande"/>
      <w:sz w:val="18"/>
      <w:szCs w:val="18"/>
    </w:rPr>
  </w:style>
  <w:style w:type="table" w:styleId="Grille">
    <w:name w:val="Table Grid"/>
    <w:basedOn w:val="TableauNormal"/>
    <w:rsid w:val="00886B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bjetducommentaire">
    <w:name w:val="annotation subject"/>
    <w:basedOn w:val="Commentaire"/>
    <w:next w:val="Commentaire"/>
    <w:link w:val="ObjetducommentaireCar"/>
    <w:rsid w:val="00C04B14"/>
    <w:rPr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C04B14"/>
  </w:style>
  <w:style w:type="character" w:customStyle="1" w:styleId="ObjetducommentaireCar">
    <w:name w:val="Objet du commentaire Car"/>
    <w:link w:val="Objetducommentaire"/>
    <w:rsid w:val="00C04B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891</Words>
  <Characters>4903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unités de numération sont de dix en dix fois plus grandes : dix unités d’un certain ordre forment une unité de l’ordre immé</vt:lpstr>
    </vt:vector>
  </TitlesOfParts>
  <Company>DIDIREM</Company>
  <LinksUpToDate>false</LinksUpToDate>
  <CharactersWithSpaces>5783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unités de numération sont de dix en dix fois plus grandes : dix unités d’un certain ordre forment une unité de l’ordre immé</dc:title>
  <dc:creator>marie-lise peltier</dc:creator>
  <cp:lastModifiedBy>Sensevy Gerard</cp:lastModifiedBy>
  <cp:revision>2</cp:revision>
  <dcterms:created xsi:type="dcterms:W3CDTF">2015-04-07T07:32:00Z</dcterms:created>
  <dcterms:modified xsi:type="dcterms:W3CDTF">2015-04-07T07:32:00Z</dcterms:modified>
</cp:coreProperties>
</file>